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5" w:rsidRPr="005642C5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Михайловского сельсовета </w:t>
      </w:r>
      <w:r w:rsidRPr="002D17E0">
        <w:rPr>
          <w:spacing w:val="0"/>
          <w:sz w:val="28"/>
          <w:szCs w:val="28"/>
        </w:rPr>
        <w:t>Усть-Калманского района</w:t>
      </w:r>
    </w:p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 w:rsidRPr="002D17E0">
        <w:rPr>
          <w:spacing w:val="0"/>
          <w:sz w:val="28"/>
          <w:szCs w:val="28"/>
        </w:rPr>
        <w:t xml:space="preserve">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7F1E20" w:rsidRDefault="002371B6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  <w:u w:val="none"/>
        </w:rPr>
        <w:t>«24»августа 2021</w:t>
      </w:r>
      <w:r w:rsidR="007F1E20"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>
        <w:rPr>
          <w:rStyle w:val="21"/>
          <w:rFonts w:eastAsia="Arial Unicode MS"/>
          <w:u w:val="none"/>
        </w:rPr>
        <w:t>26</w:t>
      </w:r>
    </w:p>
    <w:p w:rsidR="007F1E20" w:rsidRPr="002D17E0" w:rsidRDefault="007F1E20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7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7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Михайловка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B5B" w:rsidRPr="00DC300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B5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346B5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нирования</w:t>
      </w:r>
      <w:proofErr w:type="spellEnd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оплаты </w:t>
      </w:r>
      <w:proofErr w:type="gram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</w:t>
      </w:r>
      <w:proofErr w:type="gramEnd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346B5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зательств</w:t>
      </w:r>
      <w:proofErr w:type="spellEnd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получателей средств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346B5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proofErr w:type="spellEnd"/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и администраторов </w:t>
      </w:r>
    </w:p>
    <w:p w:rsidR="00346B5B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финансирования </w:t>
      </w:r>
    </w:p>
    <w:p w:rsidR="00346B5B" w:rsidRPr="002336E1" w:rsidRDefault="00346B5B" w:rsidP="00346B5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дефицита местного бюджета</w:t>
      </w:r>
    </w:p>
    <w:p w:rsidR="00CA619A" w:rsidRPr="00DC300B" w:rsidRDefault="00CA619A" w:rsidP="00346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B5B" w:rsidRPr="00DC300B" w:rsidRDefault="00346B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0B2300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Е.Н.Шабанов</w:t>
      </w:r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              </w:t>
      </w:r>
      <w:r w:rsidR="005642C5" w:rsidRPr="005642C5">
        <w:rPr>
          <w:bCs/>
          <w:sz w:val="28"/>
          <w:szCs w:val="28"/>
          <w:lang w:eastAsia="ru-RU"/>
        </w:rPr>
        <w:t xml:space="preserve">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Михайловского сельсовета </w:t>
      </w:r>
      <w:proofErr w:type="spellStart"/>
      <w:r w:rsidRPr="002D17E0">
        <w:rPr>
          <w:spacing w:val="0"/>
          <w:sz w:val="28"/>
          <w:szCs w:val="28"/>
        </w:rPr>
        <w:t>Усть</w:t>
      </w:r>
      <w:proofErr w:type="spellEnd"/>
      <w:r w:rsidRPr="002D17E0">
        <w:rPr>
          <w:spacing w:val="0"/>
          <w:sz w:val="28"/>
          <w:szCs w:val="28"/>
        </w:rPr>
        <w:t>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  <w:proofErr w:type="spellStart"/>
      <w:r w:rsidRPr="002D17E0">
        <w:rPr>
          <w:spacing w:val="0"/>
          <w:sz w:val="28"/>
          <w:szCs w:val="28"/>
        </w:rPr>
        <w:t>Калманского</w:t>
      </w:r>
      <w:proofErr w:type="spellEnd"/>
      <w:r w:rsidRPr="002D17E0">
        <w:rPr>
          <w:spacing w:val="0"/>
          <w:sz w:val="28"/>
          <w:szCs w:val="28"/>
        </w:rPr>
        <w:t xml:space="preserve">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42C5" w:rsidRPr="005642C5">
        <w:rPr>
          <w:rFonts w:ascii="Times New Roman" w:hAnsi="Times New Roman" w:cs="Times New Roman"/>
          <w:sz w:val="28"/>
          <w:szCs w:val="28"/>
        </w:rPr>
        <w:t xml:space="preserve">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 </w:t>
      </w:r>
      <w:r w:rsidR="00DC300B">
        <w:rPr>
          <w:rFonts w:ascii="Times New Roman" w:hAnsi="Times New Roman" w:cs="Times New Roman"/>
          <w:sz w:val="28"/>
          <w:szCs w:val="28"/>
        </w:rPr>
        <w:t xml:space="preserve">24.08.2021г. 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№</w:t>
      </w:r>
      <w:r w:rsidR="00DC300B">
        <w:rPr>
          <w:rFonts w:ascii="Times New Roman" w:hAnsi="Times New Roman" w:cs="Times New Roman"/>
          <w:sz w:val="28"/>
          <w:szCs w:val="28"/>
        </w:rPr>
        <w:t xml:space="preserve">  26</w:t>
      </w:r>
    </w:p>
    <w:p w:rsidR="00CA619A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</w:t>
      </w:r>
      <w:proofErr w:type="gramStart"/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>Администрации  Михайловского сельсовета</w:t>
      </w:r>
      <w:proofErr w:type="gramEnd"/>
      <w:r w:rsidRPr="00A965A2">
        <w:rPr>
          <w:b/>
          <w:spacing w:val="0"/>
          <w:sz w:val="28"/>
          <w:szCs w:val="28"/>
        </w:rPr>
        <w:t xml:space="preserve">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Михайловского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Михайловского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965A2">
        <w:rPr>
          <w:rFonts w:ascii="Times New Roman" w:hAnsi="Times New Roman"/>
          <w:sz w:val="28"/>
          <w:szCs w:val="28"/>
        </w:rPr>
        <w:t xml:space="preserve">Михайловского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</w:t>
      </w:r>
      <w:r w:rsidR="00A45FEA" w:rsidRPr="00E15285">
        <w:rPr>
          <w:rFonts w:ascii="Times New Roman" w:hAnsi="Times New Roman" w:cs="Times New Roman"/>
          <w:sz w:val="28"/>
          <w:szCs w:val="28"/>
        </w:rPr>
        <w:lastRenderedPageBreak/>
        <w:t>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</w:t>
      </w:r>
      <w:proofErr w:type="gramEnd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>Администрацию Михайловского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Михайловского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</w:t>
      </w:r>
      <w:proofErr w:type="gramStart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proofErr w:type="gramStart"/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Start"/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3.11.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B2300"/>
    <w:rsid w:val="000E4DC8"/>
    <w:rsid w:val="0012210D"/>
    <w:rsid w:val="001E3E12"/>
    <w:rsid w:val="001F1553"/>
    <w:rsid w:val="002336E1"/>
    <w:rsid w:val="002371B6"/>
    <w:rsid w:val="0026445E"/>
    <w:rsid w:val="002A75ED"/>
    <w:rsid w:val="002B2A7E"/>
    <w:rsid w:val="00346B5B"/>
    <w:rsid w:val="003704CE"/>
    <w:rsid w:val="003D452A"/>
    <w:rsid w:val="00466A1A"/>
    <w:rsid w:val="00486898"/>
    <w:rsid w:val="004D34F0"/>
    <w:rsid w:val="004E2EAF"/>
    <w:rsid w:val="0050076D"/>
    <w:rsid w:val="005642C5"/>
    <w:rsid w:val="00587239"/>
    <w:rsid w:val="005D1916"/>
    <w:rsid w:val="005F5B44"/>
    <w:rsid w:val="006013E9"/>
    <w:rsid w:val="00623FE5"/>
    <w:rsid w:val="006812EC"/>
    <w:rsid w:val="0068431A"/>
    <w:rsid w:val="006D1C4B"/>
    <w:rsid w:val="006F5BAD"/>
    <w:rsid w:val="007F1B9E"/>
    <w:rsid w:val="007F1E20"/>
    <w:rsid w:val="00803A43"/>
    <w:rsid w:val="009139A2"/>
    <w:rsid w:val="0092493A"/>
    <w:rsid w:val="0099331C"/>
    <w:rsid w:val="00A45FEA"/>
    <w:rsid w:val="00A965A2"/>
    <w:rsid w:val="00B20054"/>
    <w:rsid w:val="00BA235B"/>
    <w:rsid w:val="00C65B9D"/>
    <w:rsid w:val="00CA619A"/>
    <w:rsid w:val="00CE3CDC"/>
    <w:rsid w:val="00D94742"/>
    <w:rsid w:val="00DA6E6C"/>
    <w:rsid w:val="00DC0A82"/>
    <w:rsid w:val="00DC300B"/>
    <w:rsid w:val="00E15285"/>
    <w:rsid w:val="00E24039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C5F8-B9EA-41AE-AD32-DBAFB0C7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Администрация</cp:lastModifiedBy>
  <cp:revision>13</cp:revision>
  <cp:lastPrinted>2021-08-26T05:02:00Z</cp:lastPrinted>
  <dcterms:created xsi:type="dcterms:W3CDTF">2021-07-15T02:35:00Z</dcterms:created>
  <dcterms:modified xsi:type="dcterms:W3CDTF">2021-09-10T08:53:00Z</dcterms:modified>
</cp:coreProperties>
</file>